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F56C5">
      <w:pPr>
        <w:spacing w:line="276" w:lineRule="auto"/>
        <w:jc w:val="center"/>
        <w:rPr>
          <w:rFonts w:ascii="宋体" w:hAnsi="宋体"/>
          <w:b/>
          <w:sz w:val="32"/>
        </w:rPr>
      </w:pPr>
    </w:p>
    <w:p w14:paraId="63366965">
      <w:pPr>
        <w:spacing w:line="276" w:lineRule="auto"/>
        <w:jc w:val="center"/>
        <w:rPr>
          <w:rFonts w:ascii="宋体" w:hAnsi="宋体"/>
          <w:b/>
          <w:sz w:val="32"/>
        </w:rPr>
      </w:pPr>
      <w:r>
        <w:rPr>
          <w:rFonts w:ascii="宋体" w:hAnsi="宋体"/>
          <w:b/>
          <w:sz w:val="32"/>
        </w:rPr>
        <w:t>20</w:t>
      </w:r>
      <w:r>
        <w:rPr>
          <w:rFonts w:hint="eastAsia" w:ascii="宋体" w:hAnsi="宋体"/>
          <w:b/>
          <w:sz w:val="32"/>
        </w:rPr>
        <w:t>2</w:t>
      </w:r>
      <w:r>
        <w:rPr>
          <w:rFonts w:ascii="宋体" w:hAnsi="宋体"/>
          <w:b/>
          <w:sz w:val="32"/>
        </w:rPr>
        <w:t>7年</w:t>
      </w:r>
      <w:r>
        <w:rPr>
          <w:rFonts w:hint="eastAsia" w:ascii="宋体" w:hAnsi="宋体"/>
          <w:b/>
          <w:sz w:val="32"/>
        </w:rPr>
        <w:t>武汉理工大学硕士研究生招生考试</w:t>
      </w:r>
    </w:p>
    <w:p w14:paraId="4F967EE3">
      <w:pPr>
        <w:spacing w:line="276" w:lineRule="auto"/>
        <w:jc w:val="center"/>
        <w:rPr>
          <w:rFonts w:ascii="宋体" w:hAnsi="宋体"/>
          <w:b/>
          <w:sz w:val="32"/>
        </w:rPr>
      </w:pPr>
      <w:r>
        <w:rPr>
          <w:rFonts w:hint="eastAsia" w:ascii="宋体" w:hAnsi="宋体"/>
          <w:b/>
          <w:sz w:val="32"/>
        </w:rPr>
        <w:t>考试大纲和参考书目</w:t>
      </w:r>
    </w:p>
    <w:p w14:paraId="2B695BC2">
      <w:pPr>
        <w:spacing w:line="276" w:lineRule="auto"/>
        <w:jc w:val="center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《经济学理论基础》（含微观、宏观、数字经济学）（代码：</w:t>
      </w:r>
      <w:r>
        <w:rPr>
          <w:rFonts w:ascii="宋体" w:hAnsi="宋体"/>
          <w:b/>
          <w:sz w:val="24"/>
        </w:rPr>
        <w:t>806</w:t>
      </w:r>
      <w:r>
        <w:rPr>
          <w:rFonts w:hint="eastAsia" w:ascii="宋体" w:hAnsi="宋体"/>
          <w:b/>
          <w:sz w:val="24"/>
        </w:rPr>
        <w:t>）</w:t>
      </w:r>
    </w:p>
    <w:p w14:paraId="3EC55E76">
      <w:pPr>
        <w:spacing w:line="276" w:lineRule="auto"/>
        <w:ind w:firstLine="420" w:firstLineChars="200"/>
        <w:jc w:val="center"/>
      </w:pPr>
    </w:p>
    <w:p w14:paraId="178D50E6">
      <w:pPr>
        <w:spacing w:line="276" w:lineRule="auto"/>
        <w:jc w:val="center"/>
        <w:rPr>
          <w:b/>
        </w:rPr>
      </w:pPr>
      <w:r>
        <w:rPr>
          <w:rFonts w:hint="eastAsia"/>
          <w:b/>
        </w:rPr>
        <w:t>第一部分  考试形式及试卷结构</w:t>
      </w:r>
    </w:p>
    <w:p w14:paraId="44DAA87C">
      <w:pPr>
        <w:spacing w:line="276" w:lineRule="auto"/>
      </w:pPr>
    </w:p>
    <w:p w14:paraId="25869D47">
      <w:pPr>
        <w:spacing w:line="276" w:lineRule="auto"/>
      </w:pPr>
      <w:r>
        <w:rPr>
          <w:rFonts w:hint="eastAsia"/>
        </w:rPr>
        <w:t>一、答卷方式：闭卷，笔试</w:t>
      </w:r>
    </w:p>
    <w:p w14:paraId="2255CECD">
      <w:pPr>
        <w:spacing w:line="276" w:lineRule="auto"/>
      </w:pPr>
      <w:r>
        <w:rPr>
          <w:rFonts w:hint="eastAsia"/>
        </w:rPr>
        <w:t>二、答题时间：180分钟</w:t>
      </w:r>
    </w:p>
    <w:p w14:paraId="3A719D19">
      <w:pPr>
        <w:spacing w:line="276" w:lineRule="auto"/>
      </w:pPr>
      <w:r>
        <w:rPr>
          <w:rFonts w:hint="eastAsia"/>
        </w:rPr>
        <w:t>三、考核内容和题型</w:t>
      </w:r>
    </w:p>
    <w:p w14:paraId="5A09BD76">
      <w:pPr>
        <w:spacing w:line="276" w:lineRule="auto"/>
        <w:ind w:firstLine="420" w:firstLineChars="200"/>
      </w:pPr>
      <w:r>
        <w:rPr>
          <w:rFonts w:hint="eastAsia"/>
        </w:rPr>
        <w:t>1．考核内容：微观经济学基础理论、宏观经济学基础理论、数字经济学基础理论、中国经济形势分析、中国数字经济发展分析。</w:t>
      </w:r>
    </w:p>
    <w:p w14:paraId="7C91D745">
      <w:pPr>
        <w:spacing w:line="276" w:lineRule="auto"/>
        <w:ind w:firstLine="420" w:firstLineChars="200"/>
      </w:pPr>
      <w:r>
        <w:t>2</w:t>
      </w:r>
      <w:r>
        <w:rPr>
          <w:rFonts w:hint="eastAsia"/>
        </w:rPr>
        <w:t>．考核题型：</w:t>
      </w:r>
      <w:r>
        <w:rPr>
          <w:rFonts w:hint="eastAsia"/>
          <w:lang w:val="en-US" w:eastAsia="zh-CN"/>
        </w:rPr>
        <w:t>主要包含</w:t>
      </w:r>
      <w:r>
        <w:rPr>
          <w:rFonts w:hint="eastAsia"/>
        </w:rPr>
        <w:t>名词解释、简答、计算与论述、案例分析</w:t>
      </w:r>
      <w:r>
        <w:rPr>
          <w:rFonts w:hint="eastAsia"/>
          <w:lang w:val="en-US" w:eastAsia="zh-CN"/>
        </w:rPr>
        <w:t>等</w:t>
      </w:r>
      <w:r>
        <w:rPr>
          <w:rFonts w:hint="eastAsia"/>
        </w:rPr>
        <w:t>。</w:t>
      </w:r>
    </w:p>
    <w:p w14:paraId="749C621D">
      <w:pPr>
        <w:spacing w:line="276" w:lineRule="auto"/>
        <w:ind w:firstLine="420" w:firstLineChars="20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rPr>
          <w:rFonts w:hint="eastAsia"/>
        </w:rPr>
        <w:t>名词解释题、简答题共计</w:t>
      </w:r>
      <w:r>
        <w:t>80</w:t>
      </w:r>
      <w:r>
        <w:rPr>
          <w:rFonts w:hint="eastAsia"/>
        </w:rPr>
        <w:t>分，侧重考核宏微观经济基础理论；</w:t>
      </w:r>
    </w:p>
    <w:p w14:paraId="6F8376FB">
      <w:pPr>
        <w:spacing w:line="276" w:lineRule="auto"/>
        <w:ind w:firstLine="420" w:firstLineChars="200"/>
        <w:rPr>
          <w:rFonts w:hint="eastAsia"/>
        </w:rPr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rPr>
          <w:rFonts w:hint="eastAsia"/>
        </w:rPr>
        <w:t>计算与论述题4</w:t>
      </w:r>
      <w:r>
        <w:t>0</w:t>
      </w:r>
      <w:r>
        <w:rPr>
          <w:rFonts w:hint="eastAsia"/>
        </w:rPr>
        <w:t>分，可在宏微观经济和数字经济两个模块中选做（计算与论述选做其一，其中计算题2道，侧重考核宏微观经济模型与函数；论述题2道，侧重考核数字经济新产业、新业态、新模式）；</w:t>
      </w:r>
    </w:p>
    <w:p w14:paraId="66558674">
      <w:pPr>
        <w:spacing w:line="276" w:lineRule="auto"/>
        <w:ind w:firstLine="420" w:firstLineChars="20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eastAsia="zh-CN"/>
        </w:rPr>
        <w:t>）</w:t>
      </w:r>
      <w:r>
        <w:rPr>
          <w:rFonts w:hint="eastAsia"/>
        </w:rPr>
        <w:t>案例分析题</w:t>
      </w:r>
      <w:r>
        <w:t>30</w:t>
      </w:r>
      <w:r>
        <w:rPr>
          <w:rFonts w:hint="eastAsia"/>
        </w:rPr>
        <w:t>分，可在宏微观经济和数字经济两个模块中选做（</w:t>
      </w:r>
      <w:r>
        <w:t>2</w:t>
      </w:r>
      <w:r>
        <w:rPr>
          <w:rFonts w:hint="eastAsia"/>
        </w:rPr>
        <w:t>选</w:t>
      </w:r>
      <w:r>
        <w:t>1</w:t>
      </w:r>
      <w:r>
        <w:rPr>
          <w:rFonts w:hint="eastAsia"/>
        </w:rPr>
        <w:t>，每题包括2小题，分别考核中国经济形势分析和中国数字经济发展分析）。</w:t>
      </w:r>
    </w:p>
    <w:p w14:paraId="594C6B82">
      <w:pPr>
        <w:spacing w:line="276" w:lineRule="auto"/>
        <w:ind w:firstLine="420" w:firstLineChars="200"/>
      </w:pPr>
    </w:p>
    <w:p w14:paraId="459664DB">
      <w:pPr>
        <w:spacing w:line="276" w:lineRule="auto"/>
        <w:ind w:firstLine="422" w:firstLineChars="200"/>
        <w:jc w:val="center"/>
        <w:rPr>
          <w:b/>
        </w:rPr>
      </w:pPr>
      <w:r>
        <w:rPr>
          <w:rFonts w:hint="eastAsia"/>
          <w:b/>
        </w:rPr>
        <w:t>第二部分  考查要点</w:t>
      </w:r>
    </w:p>
    <w:p w14:paraId="0493936D">
      <w:pPr>
        <w:spacing w:line="276" w:lineRule="auto"/>
        <w:ind w:firstLine="420" w:firstLineChars="200"/>
      </w:pPr>
    </w:p>
    <w:p w14:paraId="7F3F2EFB">
      <w:pPr>
        <w:adjustRightInd w:val="0"/>
        <w:snapToGrid w:val="0"/>
        <w:spacing w:line="276" w:lineRule="auto"/>
        <w:rPr>
          <w:b/>
        </w:rPr>
      </w:pPr>
      <w:r>
        <w:rPr>
          <w:rFonts w:hint="eastAsia"/>
          <w:b/>
        </w:rPr>
        <w:t>一、微观经济学</w:t>
      </w:r>
    </w:p>
    <w:p w14:paraId="5CBDBB7C">
      <w:pPr>
        <w:adjustRightInd w:val="0"/>
        <w:snapToGrid w:val="0"/>
        <w:spacing w:line="276" w:lineRule="auto"/>
      </w:pPr>
      <w:r>
        <w:rPr>
          <w:rFonts w:hint="eastAsia"/>
        </w:rPr>
        <w:t>（一）需求与供给</w:t>
      </w:r>
    </w:p>
    <w:p w14:paraId="20E6DE8C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1．需求</w:t>
      </w:r>
    </w:p>
    <w:p w14:paraId="40847BCA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需求，需求函数，需求定律，需求曲线，影响需求的因素，需求量的变动与需求曲线的变动。</w:t>
      </w:r>
    </w:p>
    <w:p w14:paraId="19917B55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2．供给</w:t>
      </w:r>
    </w:p>
    <w:p w14:paraId="0665B8A8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供给，供给曲线，影响供给的因素，供给函数、供给量的变动与供给曲线的变动。</w:t>
      </w:r>
    </w:p>
    <w:p w14:paraId="13695F39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3．均衡价格</w:t>
      </w:r>
    </w:p>
    <w:p w14:paraId="2C034757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均衡价格，均衡价格的变动，价格在经济中的作用，政府对价格的干预。</w:t>
      </w:r>
    </w:p>
    <w:p w14:paraId="1680C6D5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4．弹性理论</w:t>
      </w:r>
    </w:p>
    <w:p w14:paraId="7D44BACB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需求弹性，需求的价格弹性，需求的收入弹性，点弹性、弧弹性的计算。</w:t>
      </w:r>
    </w:p>
    <w:p w14:paraId="5E8DA0BA">
      <w:pPr>
        <w:adjustRightInd w:val="0"/>
        <w:snapToGrid w:val="0"/>
        <w:spacing w:line="276" w:lineRule="auto"/>
      </w:pPr>
    </w:p>
    <w:p w14:paraId="436C378B">
      <w:pPr>
        <w:adjustRightInd w:val="0"/>
        <w:snapToGrid w:val="0"/>
        <w:spacing w:line="276" w:lineRule="auto"/>
      </w:pPr>
      <w:r>
        <w:rPr>
          <w:rFonts w:hint="eastAsia"/>
        </w:rPr>
        <w:t>（二）消费者行为</w:t>
      </w:r>
    </w:p>
    <w:p w14:paraId="457F11B0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1．基数效用分析</w:t>
      </w:r>
    </w:p>
    <w:p w14:paraId="2BD859A7">
      <w:pPr>
        <w:adjustRightInd w:val="0"/>
        <w:snapToGrid w:val="0"/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/>
        </w:rPr>
        <w:t>效用函数，</w:t>
      </w:r>
      <w:r>
        <w:rPr>
          <w:rFonts w:hint="eastAsia" w:ascii="宋体" w:hAnsi="宋体"/>
        </w:rPr>
        <w:t>总效用，边际效用递减规律，消费者均衡，消费者剩余。</w:t>
      </w:r>
    </w:p>
    <w:p w14:paraId="4A35ACDE">
      <w:pPr>
        <w:adjustRightInd w:val="0"/>
        <w:snapToGrid w:val="0"/>
        <w:spacing w:line="276" w:lineRule="auto"/>
        <w:ind w:firstLine="420" w:firstLineChars="200"/>
        <w:rPr>
          <w:rFonts w:ascii="宋体" w:hAnsi="宋体"/>
        </w:rPr>
      </w:pPr>
      <w:r>
        <w:rPr>
          <w:rFonts w:hint="eastAsia" w:ascii="宋体" w:hAnsi="宋体"/>
        </w:rPr>
        <w:t>2．序数效用分析</w:t>
      </w:r>
    </w:p>
    <w:p w14:paraId="20C2F903">
      <w:pPr>
        <w:adjustRightInd w:val="0"/>
        <w:snapToGrid w:val="0"/>
        <w:spacing w:line="276" w:lineRule="auto"/>
        <w:ind w:firstLine="420" w:firstLineChars="200"/>
      </w:pPr>
      <w:r>
        <w:rPr>
          <w:rFonts w:hint="eastAsia" w:ascii="宋体" w:hAnsi="宋体"/>
        </w:rPr>
        <w:t>无差异曲线，商品的边际替代率，预算线及其变动，消费者的均衡</w:t>
      </w:r>
      <w:r>
        <w:rPr>
          <w:rFonts w:hint="eastAsia"/>
        </w:rPr>
        <w:t>。</w:t>
      </w:r>
    </w:p>
    <w:p w14:paraId="3C1877ED">
      <w:pPr>
        <w:adjustRightInd w:val="0"/>
        <w:snapToGrid w:val="0"/>
        <w:spacing w:line="276" w:lineRule="auto"/>
      </w:pPr>
    </w:p>
    <w:p w14:paraId="2762FA03">
      <w:pPr>
        <w:adjustRightInd w:val="0"/>
        <w:snapToGrid w:val="0"/>
        <w:spacing w:line="276" w:lineRule="auto"/>
      </w:pPr>
      <w:r>
        <w:rPr>
          <w:rFonts w:hint="eastAsia"/>
        </w:rPr>
        <w:t>（三）生产者行为与成本</w:t>
      </w:r>
    </w:p>
    <w:p w14:paraId="36492BCE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1．生产函数</w:t>
      </w:r>
    </w:p>
    <w:p w14:paraId="4BA1CC0F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生产和生产函数。</w:t>
      </w:r>
    </w:p>
    <w:p w14:paraId="1F682E4F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2．短期生产函数</w:t>
      </w:r>
    </w:p>
    <w:p w14:paraId="14FE8CAF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总产量、平均产量、边际产量及其变动规律，边际报酬递减规律。</w:t>
      </w:r>
    </w:p>
    <w:p w14:paraId="28876CB8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3．长期生产函数</w:t>
      </w:r>
    </w:p>
    <w:p w14:paraId="491FD45C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等产量曲线及其特征，边际技术替代率，等成本线及其变动。</w:t>
      </w:r>
    </w:p>
    <w:p w14:paraId="7E3D3419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4．短期成本</w:t>
      </w:r>
    </w:p>
    <w:p w14:paraId="1DFC9288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经济成本，机会成本，隐性成本，显性成本，总成本、平均成本、平均可变成本、边际成本的变化规律及其相互关系，短期产量曲线与短期成本曲线之间的关系。</w:t>
      </w:r>
    </w:p>
    <w:p w14:paraId="201CA206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5．长期成本</w:t>
      </w:r>
    </w:p>
    <w:p w14:paraId="57730543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长期总成本曲线，长期平均成本、长期边际成本，短期成本曲线与长期成本曲线的关系。</w:t>
      </w:r>
    </w:p>
    <w:p w14:paraId="4F53E4F2">
      <w:pPr>
        <w:adjustRightInd w:val="0"/>
        <w:snapToGrid w:val="0"/>
        <w:spacing w:line="276" w:lineRule="auto"/>
      </w:pPr>
    </w:p>
    <w:p w14:paraId="0531A150">
      <w:pPr>
        <w:adjustRightInd w:val="0"/>
        <w:snapToGrid w:val="0"/>
        <w:spacing w:line="276" w:lineRule="auto"/>
      </w:pPr>
      <w:r>
        <w:rPr>
          <w:rFonts w:hint="eastAsia"/>
        </w:rPr>
        <w:t>（四）市场结构与厂商均衡</w:t>
      </w:r>
    </w:p>
    <w:p w14:paraId="20EB58AD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1．完全竞争市场</w:t>
      </w:r>
    </w:p>
    <w:p w14:paraId="6BF9605C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完全竞争市场的含义，厂商的需求曲线、收益曲线，利润最大化原则，厂商的短期均衡和短期供给曲线，厂商的长期均衡，完全竞争行业的短期供给曲线和长期供给曲线。</w:t>
      </w:r>
    </w:p>
    <w:p w14:paraId="58D60B98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2．完全垄断市场</w:t>
      </w:r>
    </w:p>
    <w:p w14:paraId="67977B06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完全垄断市场的含义，完全垄断厂商的需求曲线和收益曲线，完全垄断厂商的短期均衡和长期均衡，完全竞争与完全垄断的比较。</w:t>
      </w:r>
    </w:p>
    <w:p w14:paraId="7B5A2F83">
      <w:pPr>
        <w:adjustRightInd w:val="0"/>
        <w:snapToGrid w:val="0"/>
        <w:spacing w:line="276" w:lineRule="auto"/>
      </w:pPr>
    </w:p>
    <w:p w14:paraId="16D7BE5B">
      <w:pPr>
        <w:adjustRightInd w:val="0"/>
        <w:snapToGrid w:val="0"/>
        <w:spacing w:line="276" w:lineRule="auto"/>
      </w:pPr>
      <w:r>
        <w:rPr>
          <w:rFonts w:hint="eastAsia"/>
        </w:rPr>
        <w:t>（五）市场失灵和微观经济政策</w:t>
      </w:r>
    </w:p>
    <w:p w14:paraId="454C2223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1．市场失灵</w:t>
      </w:r>
    </w:p>
    <w:p w14:paraId="0D5D5911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市场失灵，垄断，外部性，公共物品，公地悲剧，逆向选择，道德风险，信息不完全，市场失灵对资源配置的影响。</w:t>
      </w:r>
    </w:p>
    <w:p w14:paraId="7C5BBE47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2．微观经济政策</w:t>
      </w:r>
    </w:p>
    <w:p w14:paraId="2A910101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反托拉斯法，对垄断的公共管制，有关外部性的政策，科斯定理。</w:t>
      </w:r>
    </w:p>
    <w:p w14:paraId="5471BCE0">
      <w:pPr>
        <w:adjustRightInd w:val="0"/>
        <w:snapToGrid w:val="0"/>
        <w:spacing w:line="276" w:lineRule="auto"/>
        <w:rPr>
          <w:b/>
        </w:rPr>
      </w:pPr>
    </w:p>
    <w:p w14:paraId="26FA90E5">
      <w:pPr>
        <w:adjustRightInd w:val="0"/>
        <w:snapToGrid w:val="0"/>
        <w:spacing w:line="276" w:lineRule="auto"/>
        <w:rPr>
          <w:b/>
        </w:rPr>
      </w:pPr>
      <w:r>
        <w:rPr>
          <w:rFonts w:hint="eastAsia"/>
          <w:b/>
        </w:rPr>
        <w:t>二、宏观经济学</w:t>
      </w:r>
    </w:p>
    <w:p w14:paraId="26426ADC">
      <w:pPr>
        <w:adjustRightInd w:val="0"/>
        <w:snapToGrid w:val="0"/>
        <w:spacing w:line="276" w:lineRule="auto"/>
      </w:pPr>
      <w:r>
        <w:rPr>
          <w:rFonts w:hint="eastAsia"/>
        </w:rPr>
        <w:t>（一）国民收入核算</w:t>
      </w:r>
    </w:p>
    <w:p w14:paraId="319BA91F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1．国内收入指标体系</w:t>
      </w:r>
    </w:p>
    <w:p w14:paraId="58185327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流量、存量，国内生产总值，国民生产总值，个人可支配收入，GDP平减指数</w:t>
      </w:r>
    </w:p>
    <w:p w14:paraId="5402284A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2．核算国民收入的方法</w:t>
      </w:r>
    </w:p>
    <w:p w14:paraId="31341ABF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支出法。</w:t>
      </w:r>
    </w:p>
    <w:p w14:paraId="14A6526F">
      <w:pPr>
        <w:adjustRightInd w:val="0"/>
        <w:snapToGrid w:val="0"/>
        <w:spacing w:line="276" w:lineRule="auto"/>
      </w:pPr>
    </w:p>
    <w:p w14:paraId="7DCD310D">
      <w:pPr>
        <w:adjustRightInd w:val="0"/>
        <w:snapToGrid w:val="0"/>
        <w:spacing w:line="276" w:lineRule="auto"/>
      </w:pPr>
      <w:r>
        <w:rPr>
          <w:rFonts w:hint="eastAsia"/>
        </w:rPr>
        <w:t>（二）产品市场均衡</w:t>
      </w:r>
    </w:p>
    <w:p w14:paraId="035CA00B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1．消费函数与储蓄函数</w:t>
      </w:r>
    </w:p>
    <w:p w14:paraId="739C23E0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消费函数，平均消费倾向，边际消费倾向，储蓄函数，平均储蓄倾向，边际储蓄倾向，消费函数与储蓄函数的关系。</w:t>
      </w:r>
    </w:p>
    <w:p w14:paraId="4BCC08AA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2. 投资函数</w:t>
      </w:r>
    </w:p>
    <w:p w14:paraId="708876B5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投资函数，实际利率与投资，资本边际产出。</w:t>
      </w:r>
    </w:p>
    <w:p w14:paraId="25ACF3DC">
      <w:pPr>
        <w:adjustRightInd w:val="0"/>
        <w:snapToGrid w:val="0"/>
        <w:spacing w:line="276" w:lineRule="auto"/>
        <w:ind w:firstLine="420" w:firstLineChars="200"/>
      </w:pPr>
      <w:r>
        <w:t>3</w:t>
      </w:r>
      <w:r>
        <w:rPr>
          <w:rFonts w:hint="eastAsia"/>
        </w:rPr>
        <w:t>.</w:t>
      </w:r>
      <w:r>
        <w:t xml:space="preserve"> </w:t>
      </w:r>
      <w:r>
        <w:rPr>
          <w:rFonts w:hint="eastAsia"/>
        </w:rPr>
        <w:t>乘数论</w:t>
      </w:r>
    </w:p>
    <w:p w14:paraId="43BD3695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投资乘数。</w:t>
      </w:r>
    </w:p>
    <w:p w14:paraId="61BABDE5">
      <w:pPr>
        <w:adjustRightInd w:val="0"/>
        <w:snapToGrid w:val="0"/>
        <w:spacing w:line="276" w:lineRule="auto"/>
      </w:pPr>
    </w:p>
    <w:p w14:paraId="1DC2C2F9">
      <w:pPr>
        <w:adjustRightInd w:val="0"/>
        <w:snapToGrid w:val="0"/>
        <w:spacing w:line="276" w:lineRule="auto"/>
      </w:pPr>
      <w:r>
        <w:rPr>
          <w:rFonts w:hint="eastAsia"/>
        </w:rPr>
        <w:t>（三）宏观经济政策</w:t>
      </w:r>
    </w:p>
    <w:p w14:paraId="7F0AD367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1．宏观经济政策目标</w:t>
      </w:r>
    </w:p>
    <w:p w14:paraId="451A2BB7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宏观经济政策的四大目标（经济增长、充分就业、价格稳定、国际收支平衡）及各种目标之间的关系。</w:t>
      </w:r>
    </w:p>
    <w:p w14:paraId="78B9C716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2．财政政策</w:t>
      </w:r>
    </w:p>
    <w:p w14:paraId="1DE824BE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财政政策及其效果，财政政策工具及其运用，积极（斟酌使用）的财政政策。</w:t>
      </w:r>
    </w:p>
    <w:p w14:paraId="4886CDA0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3.货币政策</w:t>
      </w:r>
    </w:p>
    <w:p w14:paraId="47A76580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货币政策及其效果，基础货币、货币创造乘数，货币政策工具及其运用。</w:t>
      </w:r>
    </w:p>
    <w:p w14:paraId="28E624B3">
      <w:pPr>
        <w:adjustRightInd w:val="0"/>
        <w:snapToGrid w:val="0"/>
        <w:spacing w:line="276" w:lineRule="auto"/>
      </w:pPr>
    </w:p>
    <w:p w14:paraId="3B6D8C14">
      <w:pPr>
        <w:adjustRightInd w:val="0"/>
        <w:snapToGrid w:val="0"/>
        <w:spacing w:line="276" w:lineRule="auto"/>
      </w:pPr>
      <w:r>
        <w:rPr>
          <w:rFonts w:hint="eastAsia"/>
        </w:rPr>
        <w:t>（四）AD—AS模型</w:t>
      </w:r>
    </w:p>
    <w:p w14:paraId="3958500E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1．总需求函数</w:t>
      </w:r>
    </w:p>
    <w:p w14:paraId="5615631E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总需求（AD），总需求函数，总需求曲线的移动。</w:t>
      </w:r>
    </w:p>
    <w:p w14:paraId="07A8C9C0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2．总供给函数</w:t>
      </w:r>
    </w:p>
    <w:p w14:paraId="4FF1EACE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总供给（AS），总供给函数，短期总供给曲线，长期总供给曲线。</w:t>
      </w:r>
    </w:p>
    <w:p w14:paraId="4240B470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3．总需求—总供给（AD-AS）模型</w:t>
      </w:r>
    </w:p>
    <w:p w14:paraId="481496F9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总需求—总供给模型及其政策含义，总需求曲线移动的效应，总供给曲线移动的效应。</w:t>
      </w:r>
    </w:p>
    <w:p w14:paraId="6F604D21">
      <w:pPr>
        <w:adjustRightInd w:val="0"/>
        <w:snapToGrid w:val="0"/>
        <w:spacing w:line="276" w:lineRule="auto"/>
      </w:pPr>
      <w:r>
        <w:rPr>
          <w:rFonts w:hint="eastAsia"/>
        </w:rPr>
        <w:t>（五）经济周期和通货膨胀</w:t>
      </w:r>
    </w:p>
    <w:p w14:paraId="197409E1">
      <w:pPr>
        <w:adjustRightInd w:val="0"/>
        <w:snapToGrid w:val="0"/>
        <w:spacing w:line="276" w:lineRule="auto"/>
        <w:ind w:firstLine="420" w:firstLineChars="200"/>
      </w:pPr>
      <w:r>
        <w:t>1</w:t>
      </w:r>
      <w:r>
        <w:rPr>
          <w:rFonts w:hint="eastAsia"/>
        </w:rPr>
        <w:t>．经济周期</w:t>
      </w:r>
    </w:p>
    <w:p w14:paraId="389ADF02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经济周期的含义、阶段与特征，经济周期的类型。</w:t>
      </w:r>
    </w:p>
    <w:p w14:paraId="2417BC15">
      <w:pPr>
        <w:adjustRightInd w:val="0"/>
        <w:snapToGrid w:val="0"/>
        <w:spacing w:line="276" w:lineRule="auto"/>
        <w:ind w:firstLine="420" w:firstLineChars="200"/>
      </w:pPr>
      <w:r>
        <w:t>2</w:t>
      </w:r>
      <w:r>
        <w:rPr>
          <w:rFonts w:hint="eastAsia"/>
        </w:rPr>
        <w:t>. 通货膨胀</w:t>
      </w:r>
    </w:p>
    <w:p w14:paraId="3B0747C4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通货膨胀，通货紧缩，通货膨胀的分类。</w:t>
      </w:r>
    </w:p>
    <w:p w14:paraId="71155460">
      <w:pPr>
        <w:adjustRightInd w:val="0"/>
        <w:snapToGrid w:val="0"/>
        <w:spacing w:line="276" w:lineRule="auto"/>
        <w:ind w:firstLine="420" w:firstLineChars="200"/>
      </w:pPr>
    </w:p>
    <w:p w14:paraId="222EABB3">
      <w:pPr>
        <w:adjustRightInd w:val="0"/>
        <w:snapToGrid w:val="0"/>
        <w:spacing w:line="276" w:lineRule="auto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补充说明：</w:t>
      </w:r>
      <w:r>
        <w:rPr>
          <w:rFonts w:hint="eastAsia" w:ascii="宋体" w:hAnsi="宋体"/>
          <w:szCs w:val="21"/>
        </w:rPr>
        <w:t>要求能运用微观经济学、宏观经济学中的原理和方法分析中国现实经济形势问题。</w:t>
      </w:r>
    </w:p>
    <w:p w14:paraId="5D7A4E7C">
      <w:pPr>
        <w:adjustRightInd w:val="0"/>
        <w:snapToGrid w:val="0"/>
        <w:spacing w:line="276" w:lineRule="auto"/>
        <w:ind w:firstLine="420" w:firstLineChars="200"/>
      </w:pPr>
    </w:p>
    <w:p w14:paraId="77545D45">
      <w:pPr>
        <w:adjustRightInd w:val="0"/>
        <w:snapToGrid w:val="0"/>
        <w:spacing w:line="276" w:lineRule="auto"/>
        <w:rPr>
          <w:b/>
        </w:rPr>
      </w:pPr>
      <w:r>
        <w:rPr>
          <w:rFonts w:hint="eastAsia"/>
          <w:b/>
        </w:rPr>
        <w:t>三、数字经济学</w:t>
      </w:r>
    </w:p>
    <w:p w14:paraId="4B7B9B35">
      <w:pPr>
        <w:tabs>
          <w:tab w:val="left" w:pos="1909"/>
        </w:tabs>
      </w:pPr>
      <w:r>
        <w:rPr>
          <w:rFonts w:hint="eastAsia"/>
        </w:rPr>
        <w:t>（一）数字经济导论</w:t>
      </w:r>
    </w:p>
    <w:p w14:paraId="2F820919">
      <w:pPr>
        <w:tabs>
          <w:tab w:val="left" w:pos="1909"/>
        </w:tabs>
        <w:ind w:firstLine="420" w:firstLineChars="200"/>
      </w:pPr>
      <w:r>
        <w:rPr>
          <w:rFonts w:hint="eastAsia"/>
        </w:rPr>
        <w:t>数字经济的概念与内涵、研究内容、基本规律、发展战略等。</w:t>
      </w:r>
    </w:p>
    <w:p w14:paraId="46941851">
      <w:pPr>
        <w:tabs>
          <w:tab w:val="left" w:pos="1909"/>
        </w:tabs>
      </w:pPr>
      <w:r>
        <w:rPr>
          <w:rFonts w:hint="eastAsia"/>
        </w:rPr>
        <w:t>（二）相关理论</w:t>
      </w:r>
    </w:p>
    <w:p w14:paraId="308D9617">
      <w:pPr>
        <w:tabs>
          <w:tab w:val="left" w:pos="1909"/>
        </w:tabs>
        <w:ind w:firstLine="420" w:firstLineChars="200"/>
      </w:pPr>
      <w:r>
        <w:rPr>
          <w:rFonts w:hint="eastAsia"/>
        </w:rPr>
        <w:t>信息经济、网络经济、知识经济、零工经济、共享经济、以及其他数字经济相关的新模式和新业态等。</w:t>
      </w:r>
    </w:p>
    <w:p w14:paraId="5AD1DEF3">
      <w:pPr>
        <w:tabs>
          <w:tab w:val="left" w:pos="1909"/>
        </w:tabs>
      </w:pPr>
      <w:r>
        <w:rPr>
          <w:rFonts w:hint="eastAsia"/>
        </w:rPr>
        <w:t>（三）数字经济中的产业组织</w:t>
      </w:r>
    </w:p>
    <w:p w14:paraId="4904AA58">
      <w:pPr>
        <w:tabs>
          <w:tab w:val="left" w:pos="1909"/>
        </w:tabs>
        <w:ind w:firstLine="420" w:firstLineChars="200"/>
      </w:pPr>
      <w:r>
        <w:rPr>
          <w:rFonts w:hint="eastAsia"/>
        </w:rPr>
        <w:t>平台经济、数字经济中的价格歧视、信息不对称、竞争策略等。</w:t>
      </w:r>
    </w:p>
    <w:p w14:paraId="0D6803B0">
      <w:pPr>
        <w:adjustRightInd w:val="0"/>
        <w:snapToGrid w:val="0"/>
        <w:spacing w:line="276" w:lineRule="auto"/>
      </w:pPr>
      <w:r>
        <w:rPr>
          <w:rFonts w:hint="eastAsia"/>
        </w:rPr>
        <w:t>（四）数字产业化</w:t>
      </w:r>
    </w:p>
    <w:p w14:paraId="01BA2E64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人工智能、大数据、云计算、边缘计算、区块链、VR</w:t>
      </w:r>
      <w:r>
        <w:t>/AR/MR</w:t>
      </w:r>
      <w:r>
        <w:rPr>
          <w:rFonts w:hint="eastAsia"/>
        </w:rPr>
        <w:t>等数字产业发展。</w:t>
      </w:r>
    </w:p>
    <w:p w14:paraId="4A568F2B">
      <w:pPr>
        <w:adjustRightInd w:val="0"/>
        <w:snapToGrid w:val="0"/>
        <w:spacing w:line="276" w:lineRule="auto"/>
      </w:pPr>
      <w:r>
        <w:rPr>
          <w:rFonts w:hint="eastAsia"/>
        </w:rPr>
        <w:t>（五）产业数字化</w:t>
      </w:r>
    </w:p>
    <w:p w14:paraId="41219446">
      <w:pPr>
        <w:adjustRightInd w:val="0"/>
        <w:snapToGrid w:val="0"/>
        <w:spacing w:line="276" w:lineRule="auto"/>
        <w:ind w:firstLine="420" w:firstLineChars="200"/>
      </w:pPr>
      <w:r>
        <w:rPr>
          <w:rFonts w:hint="eastAsia"/>
        </w:rPr>
        <w:t>人工智能、大数据、云计算、边缘计算、区块链、VR</w:t>
      </w:r>
      <w:r>
        <w:t>/AR/MR</w:t>
      </w:r>
      <w:r>
        <w:rPr>
          <w:rFonts w:hint="eastAsia"/>
        </w:rPr>
        <w:t>等数字技术在传统产业中的应用，产业数字化转型与融合发展。</w:t>
      </w:r>
    </w:p>
    <w:p w14:paraId="1017F4D0">
      <w:pPr>
        <w:tabs>
          <w:tab w:val="left" w:pos="1909"/>
        </w:tabs>
      </w:pPr>
      <w:r>
        <w:rPr>
          <w:rFonts w:hint="eastAsia"/>
        </w:rPr>
        <w:t>（六）数字化治理</w:t>
      </w:r>
    </w:p>
    <w:p w14:paraId="7881BFD6">
      <w:pPr>
        <w:tabs>
          <w:tab w:val="left" w:pos="1909"/>
        </w:tabs>
        <w:ind w:firstLine="420" w:firstLineChars="200"/>
      </w:pPr>
      <w:r>
        <w:rPr>
          <w:rFonts w:hint="eastAsia"/>
        </w:rPr>
        <w:t>数字经济中的垄断与效率、反垄断、平台治理等。</w:t>
      </w:r>
    </w:p>
    <w:p w14:paraId="4B3723E4">
      <w:pPr>
        <w:adjustRightInd w:val="0"/>
        <w:snapToGrid w:val="0"/>
        <w:spacing w:line="276" w:lineRule="auto"/>
      </w:pPr>
      <w:r>
        <w:rPr>
          <w:rFonts w:hint="eastAsia"/>
        </w:rPr>
        <w:t>（七）数据要素价值化</w:t>
      </w:r>
    </w:p>
    <w:p w14:paraId="6F96D3A5">
      <w:pPr>
        <w:tabs>
          <w:tab w:val="left" w:pos="1909"/>
        </w:tabs>
        <w:ind w:firstLine="420" w:firstLineChars="200"/>
      </w:pPr>
      <w:r>
        <w:rPr>
          <w:rFonts w:hint="eastAsia"/>
        </w:rPr>
        <w:t>数据要素相关概念、数据要素与经济增长、人工智能与就业、人工智能与经济增长等</w:t>
      </w:r>
      <w:r>
        <w:t>。</w:t>
      </w:r>
    </w:p>
    <w:p w14:paraId="31AE861A">
      <w:pPr>
        <w:adjustRightInd w:val="0"/>
        <w:snapToGrid w:val="0"/>
        <w:spacing w:line="276" w:lineRule="auto"/>
      </w:pPr>
      <w:r>
        <w:rPr>
          <w:rFonts w:hint="eastAsia"/>
        </w:rPr>
        <w:t>（八）运用数字经济学理论分析当前热点问题</w:t>
      </w:r>
    </w:p>
    <w:p w14:paraId="7BA111E9">
      <w:pPr>
        <w:adjustRightInd w:val="0"/>
        <w:snapToGrid w:val="0"/>
        <w:spacing w:line="276" w:lineRule="auto"/>
        <w:ind w:firstLine="420" w:firstLineChars="200"/>
        <w:rPr>
          <w:rFonts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区块链、云计算、大数据、人工智能、边缘计算、VR/AR/MR、人工智能大模型、AI智能体等前沿技术对数字经济的影响。</w:t>
      </w:r>
    </w:p>
    <w:p w14:paraId="21229FCF">
      <w:pPr>
        <w:spacing w:line="276" w:lineRule="auto"/>
        <w:ind w:left="420"/>
      </w:pPr>
    </w:p>
    <w:p w14:paraId="28958301">
      <w:pPr>
        <w:adjustRightInd w:val="0"/>
        <w:snapToGrid w:val="0"/>
        <w:spacing w:line="276" w:lineRule="auto"/>
        <w:ind w:firstLine="422" w:firstLineChars="200"/>
        <w:rPr>
          <w:rFonts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补充说明：</w:t>
      </w:r>
      <w:r>
        <w:rPr>
          <w:rFonts w:hint="eastAsia" w:ascii="宋体" w:hAnsi="宋体"/>
          <w:szCs w:val="21"/>
        </w:rPr>
        <w:t>要求能运用数字经济学中的原理和方法分析中国数字经济发展问题。</w:t>
      </w:r>
    </w:p>
    <w:p w14:paraId="29F1A7E2">
      <w:pPr>
        <w:spacing w:line="276" w:lineRule="auto"/>
        <w:rPr>
          <w:rFonts w:ascii="宋体" w:hAnsi="宋体"/>
          <w:szCs w:val="21"/>
        </w:rPr>
      </w:pPr>
    </w:p>
    <w:p w14:paraId="43B33A46">
      <w:pPr>
        <w:spacing w:line="276" w:lineRule="auto"/>
        <w:rPr>
          <w:rFonts w:ascii="宋体" w:hAnsi="宋体"/>
          <w:szCs w:val="21"/>
        </w:rPr>
      </w:pPr>
    </w:p>
    <w:p w14:paraId="707EF775">
      <w:pPr>
        <w:spacing w:line="276" w:lineRule="auto"/>
        <w:rPr>
          <w:rFonts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参考教材：</w:t>
      </w:r>
    </w:p>
    <w:p w14:paraId="16E2B663">
      <w:pPr>
        <w:spacing w:line="276" w:lineRule="auto"/>
        <w:ind w:firstLine="420" w:firstLineChars="200"/>
        <w:jc w:val="left"/>
      </w:pPr>
      <w:r>
        <w:rPr>
          <w:rFonts w:hint="eastAsia"/>
        </w:rPr>
        <w:t>[1]西方经济学编写组：《西方经济学(精要本)》（第三版），马克思主义理论研究和建设工程重点教材，高等教育出版社，</w:t>
      </w:r>
      <w:r>
        <w:rPr>
          <w:rFonts w:ascii="Verdana" w:hAnsi="Verdana"/>
          <w:sz w:val="18"/>
          <w:szCs w:val="18"/>
          <w:shd w:val="clear" w:color="auto" w:fill="FFFFFF"/>
        </w:rPr>
        <w:t>2023年08月</w:t>
      </w:r>
      <w:r>
        <w:rPr>
          <w:rFonts w:hint="eastAsia"/>
        </w:rPr>
        <w:t>。</w:t>
      </w:r>
    </w:p>
    <w:p w14:paraId="1C5A1455">
      <w:pPr>
        <w:spacing w:line="276" w:lineRule="auto"/>
        <w:ind w:firstLine="420" w:firstLineChars="200"/>
        <w:jc w:val="left"/>
      </w:pPr>
      <w:r>
        <w:rPr>
          <w:rFonts w:hint="eastAsia"/>
        </w:rPr>
        <w:t>[</w:t>
      </w:r>
      <w:r>
        <w:rPr>
          <w:rFonts w:hint="eastAsia"/>
          <w:lang w:val="en-US" w:eastAsia="zh-CN"/>
        </w:rPr>
        <w:t>2</w:t>
      </w:r>
      <w:r>
        <w:t>]</w:t>
      </w:r>
      <w:r>
        <w:rPr>
          <w:rFonts w:hint="eastAsia"/>
        </w:rPr>
        <w:t xml:space="preserve"> </w:t>
      </w:r>
      <w:bookmarkStart w:id="0" w:name="OLE_LINK1"/>
      <w:r>
        <w:rPr>
          <w:rFonts w:hint="eastAsia"/>
        </w:rPr>
        <w:t>李涛，刘航：《数字经济学导论》</w:t>
      </w:r>
      <w:bookmarkEnd w:id="0"/>
      <w:r>
        <w:rPr>
          <w:rFonts w:hint="eastAsia"/>
        </w:rPr>
        <w:t>，</w:t>
      </w:r>
      <w:r>
        <w:t xml:space="preserve"> </w:t>
      </w:r>
      <w:r>
        <w:rPr>
          <w:rFonts w:hint="eastAsia"/>
        </w:rPr>
        <w:t>北京：高等教育出版社，2022年。</w:t>
      </w:r>
    </w:p>
    <w:p w14:paraId="57AE8855">
      <w:pPr>
        <w:spacing w:line="276" w:lineRule="auto"/>
        <w:ind w:firstLine="420" w:firstLineChars="200"/>
        <w:jc w:val="left"/>
        <w:rPr>
          <w:highlight w:val="yellow"/>
        </w:rPr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6C14E"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B3FDD00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FFEF" w:allStyles="1" w:customStyles="1" w:latentStyles="1" w:stylesInUse="1" w:headingStyles="1" w:numberingStyles="1" w:tableStyles="1" w:directFormattingOnRuns="1" w:directFormattingOnParagraphs="1" w:directFormattingOnNumbering="1" w:directFormattingOnTables="1" w:clearFormatting="1" w:top3HeadingStyles="1" w:visibleStyles="1" w:alternateStyleNames="1"/>
  <w:doNotTrackMoves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1BCE"/>
    <w:rsid w:val="00072C91"/>
    <w:rsid w:val="0022578A"/>
    <w:rsid w:val="002C30C5"/>
    <w:rsid w:val="003C34A2"/>
    <w:rsid w:val="003E5E7E"/>
    <w:rsid w:val="00413265"/>
    <w:rsid w:val="00621367"/>
    <w:rsid w:val="00656564"/>
    <w:rsid w:val="00662C08"/>
    <w:rsid w:val="006825D3"/>
    <w:rsid w:val="007121E7"/>
    <w:rsid w:val="00736782"/>
    <w:rsid w:val="007A09BB"/>
    <w:rsid w:val="00821D59"/>
    <w:rsid w:val="00830969"/>
    <w:rsid w:val="00846EB6"/>
    <w:rsid w:val="008F4BA3"/>
    <w:rsid w:val="00922EA9"/>
    <w:rsid w:val="00981BCE"/>
    <w:rsid w:val="009D4AFE"/>
    <w:rsid w:val="00A029E8"/>
    <w:rsid w:val="00A73154"/>
    <w:rsid w:val="00B3158B"/>
    <w:rsid w:val="00BB0404"/>
    <w:rsid w:val="00BD3FAD"/>
    <w:rsid w:val="00BD48DC"/>
    <w:rsid w:val="00C8260D"/>
    <w:rsid w:val="00CB7A6B"/>
    <w:rsid w:val="00E21024"/>
    <w:rsid w:val="00EB0153"/>
    <w:rsid w:val="00F53EC4"/>
    <w:rsid w:val="00F544E5"/>
    <w:rsid w:val="00F909DE"/>
    <w:rsid w:val="0CCF7411"/>
    <w:rsid w:val="0DFF4F4B"/>
    <w:rsid w:val="21ED35E0"/>
    <w:rsid w:val="26F57986"/>
    <w:rsid w:val="6B00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nhideWhenUsed/>
    <w:uiPriority w:val="99"/>
    <w:rPr>
      <w:sz w:val="18"/>
      <w:szCs w:val="18"/>
    </w:rPr>
  </w:style>
  <w:style w:type="paragraph" w:styleId="4">
    <w:name w:val="footer"/>
    <w:basedOn w:val="1"/>
    <w:link w:val="8"/>
    <w:unhideWhenUsed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8">
    <w:name w:val="页脚 字符"/>
    <w:link w:val="4"/>
    <w:uiPriority w:val="99"/>
    <w:rPr>
      <w:kern w:val="2"/>
      <w:sz w:val="18"/>
      <w:szCs w:val="18"/>
    </w:rPr>
  </w:style>
  <w:style w:type="character" w:customStyle="1" w:styleId="9">
    <w:name w:val="标题 1 字符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批注框文本 字符"/>
    <w:link w:val="3"/>
    <w:semiHidden/>
    <w:qFormat/>
    <w:uiPriority w:val="99"/>
    <w:rPr>
      <w:kern w:val="2"/>
      <w:sz w:val="18"/>
      <w:szCs w:val="18"/>
    </w:rPr>
  </w:style>
  <w:style w:type="character" w:customStyle="1" w:styleId="11">
    <w:name w:val="页眉 字符"/>
    <w:link w:val="5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2220</Words>
  <Characters>2279</Characters>
  <Lines>17</Lines>
  <Paragraphs>4</Paragraphs>
  <TotalTime>58</TotalTime>
  <ScaleCrop>false</ScaleCrop>
  <LinksUpToDate>false</LinksUpToDate>
  <CharactersWithSpaces>2289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2025-11-11T11:21:00Z</dcterms:created>
  <dc:creator>yuqin</dc:creator>
  <cp:lastModifiedBy>YU锐清想养一只大肥喵</cp:lastModifiedBy>
  <dcterms:modified xsi:type="dcterms:W3CDTF">2026-07-13T08:36:56Z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eyJoZGlkIjoiN2E4NWRiMTE2NWEzZTJiOTUxMTcwMmFmOWM3ODM4N2EiLCJ1c2VySWQiOiI5NDQzMzU1NjAifQ==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203DAF144FE64082B20F63A5200AC491_12</vt:lpwstr>
  </property>
</Properties>
</file>